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B7" w:rsidRPr="002F1F70" w:rsidRDefault="002F1F70" w:rsidP="002F1F70">
      <w:pPr>
        <w:pStyle w:val="a2"/>
        <w:jc w:val="center"/>
        <w:rPr>
          <w:rFonts w:ascii="Times New Roman" w:hAnsi="Times New Roman"/>
          <w:b/>
          <w:bCs/>
          <w:szCs w:val="28"/>
        </w:rPr>
      </w:pPr>
      <w:r w:rsidRPr="002F1F70">
        <w:rPr>
          <w:rFonts w:ascii="Times New Roman" w:hAnsi="Times New Roman"/>
          <w:b/>
          <w:bCs/>
          <w:szCs w:val="28"/>
        </w:rPr>
        <w:t>Информация об итогах реализации государственной программы «Обеспечение качественным жильем и услугами жилищно-коммунального хозяйства населения Республики Татарстан» в 2025 году</w:t>
      </w:r>
      <w:bookmarkStart w:id="0" w:name="_GoBack"/>
      <w:bookmarkEnd w:id="0"/>
    </w:p>
    <w:p w:rsidR="002F1F70" w:rsidRDefault="002F1F70">
      <w:pPr>
        <w:pStyle w:val="a2"/>
        <w:rPr>
          <w:rFonts w:ascii="Times New Roman" w:hAnsi="Times New Roman"/>
          <w:szCs w:val="28"/>
        </w:rPr>
      </w:pPr>
    </w:p>
    <w:p w:rsidR="009F05B7" w:rsidRDefault="00CF1D89">
      <w:pPr>
        <w:pStyle w:val="a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Государственная программа «Обеспечение качественным жильем и услугами жилищно-коммунального хозяйства населения Республики Татарстан» (далее – госпрограмма) утверждена </w:t>
      </w:r>
      <w:r>
        <w:rPr>
          <w:rFonts w:ascii="Times New Roman" w:hAnsi="Times New Roman" w:cs="Times New Roman"/>
          <w:szCs w:val="28"/>
        </w:rPr>
        <w:t>постановлением Кабинета Министров Республики Татарстан от 03.10.2019 № 888.</w:t>
      </w:r>
    </w:p>
    <w:p w:rsidR="009F05B7" w:rsidRDefault="00CF1D89">
      <w:pPr>
        <w:pStyle w:val="a2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>Срок реализации: Этап I: 2014 – 2023 г. Этап II: 2024 – 2028 гг.</w:t>
      </w:r>
    </w:p>
    <w:p w:rsidR="009F05B7" w:rsidRDefault="00CF1D89">
      <w:pPr>
        <w:pStyle w:val="a2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>Госпрограмма состоит из 9 структурных элементов: 4 региональных проекта, не входящих в состав национальных проектов (РП вне НП), 2 региональных проекта, входящих в состав национальных проектов (РП в НП) и 3 комплекса процессных мероприятий (КПМ).</w:t>
      </w:r>
    </w:p>
    <w:p w:rsidR="009F05B7" w:rsidRDefault="00CF1D89">
      <w:pPr>
        <w:pStyle w:val="a2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Ответственным исполнителем госпрограммы является Министерство строительства, архитектуры и жилищно-коммунального хозяйства Республики Татарстан. </w:t>
      </w:r>
      <w:r>
        <w:rPr>
          <w:rFonts w:ascii="Times New Roman" w:hAnsi="Times New Roman"/>
          <w:szCs w:val="28"/>
        </w:rPr>
        <w:t>Куратор госпрограммы - Первый заместитель Премьер-министра Республики Татарстан Р.К.Нигматуллин.</w:t>
      </w:r>
    </w:p>
    <w:p w:rsidR="009F05B7" w:rsidRDefault="00CF1D89">
      <w:pPr>
        <w:pStyle w:val="a2"/>
      </w:pPr>
      <w:r>
        <w:rPr>
          <w:rFonts w:ascii="Times New Roman" w:hAnsi="Times New Roman"/>
          <w:szCs w:val="28"/>
        </w:rPr>
        <w:t xml:space="preserve">В 2025 году в </w:t>
      </w:r>
      <w:r>
        <w:rPr>
          <w:rFonts w:ascii="Times New Roman" w:hAnsi="Times New Roman" w:cs="Times New Roman"/>
          <w:szCs w:val="28"/>
        </w:rPr>
        <w:t>постановление Кабинета Министров Республики Татарстан от 03.10.2019 № 888</w:t>
      </w:r>
      <w:r>
        <w:rPr>
          <w:rFonts w:ascii="Times New Roman" w:hAnsi="Times New Roman"/>
          <w:szCs w:val="28"/>
        </w:rPr>
        <w:t xml:space="preserve"> вносились изменения, согласно которым:</w:t>
      </w:r>
    </w:p>
    <w:p w:rsidR="009F05B7" w:rsidRDefault="00CF1D89">
      <w:pPr>
        <w:pStyle w:val="a2"/>
      </w:pPr>
      <w:r>
        <w:rPr>
          <w:rFonts w:ascii="Times New Roman" w:hAnsi="Times New Roman" w:cs="Times New Roman"/>
          <w:szCs w:val="28"/>
        </w:rPr>
        <w:t>- предусмотрено изложение госпрограммы в новой редакции;</w:t>
      </w:r>
    </w:p>
    <w:p w:rsidR="009F05B7" w:rsidRDefault="00CF1D89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формирование, согласование, утверждение и размещение паспортов государственных программ, паспортов структурных элементов государственных программ, запросов на изменение паспортов государственных программ, запросов на изменение паспортов структурных элементов государственных программ, отчетов о ходе реализации государственных программ и их структурных элементов, а также иных документов и материалов, разрабатываемых при осуществлении проектной деятельности, за исключением документов и материалов, содержащих сведения, составляющие государственную тайну, осуществляются в региональной информационной системе «Цифровой модуль управления государственными программами».</w:t>
      </w:r>
    </w:p>
    <w:p w:rsidR="009F05B7" w:rsidRDefault="00CF1D89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стратегические приоритеты внесены изменения в части корректировки целей госпрограммы с целями и приоритетами, обозначенными в Указе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9F05B7" w:rsidRDefault="009F05B7">
      <w:pPr>
        <w:pStyle w:val="a2"/>
        <w:spacing w:line="312" w:lineRule="exact"/>
        <w:ind w:firstLine="708"/>
        <w:rPr>
          <w:shd w:val="clear" w:color="auto" w:fill="FFFFFF"/>
        </w:rPr>
      </w:pPr>
    </w:p>
    <w:p w:rsidR="009F05B7" w:rsidRDefault="00CF1D89">
      <w:pPr>
        <w:pStyle w:val="a2"/>
        <w:spacing w:line="312" w:lineRule="exact"/>
        <w:ind w:firstLine="708"/>
        <w:rPr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Результаты проверки, анализа и оценки эффективности реализации госпрограммы, проведенной в соответствии с Правилами формирования сводного годового доклада о ходе реализации и об оценке эффективности государственных программ Республики Татарстан, показали следующее.</w:t>
      </w:r>
    </w:p>
    <w:p w:rsidR="009F05B7" w:rsidRDefault="00CF1D89">
      <w:pPr>
        <w:pStyle w:val="a2"/>
      </w:pPr>
      <w:r>
        <w:rPr>
          <w:rFonts w:ascii="Times New Roman" w:hAnsi="Times New Roman"/>
          <w:szCs w:val="28"/>
        </w:rPr>
        <w:t>Госпрограммой установлены цели - обеспечение граждан жильем; обновление жилищного фонда; устойчивое сокращение непригодного для проживания жилищного  фонда; повышение доступности жилья на первичном рынке; р</w:t>
      </w:r>
      <w:r>
        <w:rPr>
          <w:rFonts w:ascii="Times New Roman" w:hAnsi="Times New Roman" w:cs="Times New Roman"/>
          <w:szCs w:val="28"/>
        </w:rPr>
        <w:t xml:space="preserve">еализация программы модернизации коммунальной инфраструктуры и улучшение качества предоставляемых коммунальных услуг; строительство и реконструкция (модернизация) объектов питьевого водоснабжения и водоподготовки, </w:t>
      </w:r>
      <w:r>
        <w:rPr>
          <w:rFonts w:ascii="Times New Roman" w:hAnsi="Times New Roman"/>
          <w:szCs w:val="28"/>
        </w:rPr>
        <w:t xml:space="preserve">которые </w:t>
      </w:r>
      <w:r>
        <w:rPr>
          <w:rFonts w:ascii="Times New Roman" w:hAnsi="Times New Roman"/>
          <w:szCs w:val="28"/>
        </w:rPr>
        <w:lastRenderedPageBreak/>
        <w:t>связаны с национальной целью развития РФ «Комфортная и безопасная среда для жизни».</w:t>
      </w:r>
    </w:p>
    <w:p w:rsidR="009F05B7" w:rsidRDefault="00CF1D89">
      <w:pPr>
        <w:pStyle w:val="a2"/>
        <w:ind w:firstLine="0"/>
        <w:jc w:val="center"/>
      </w:pPr>
      <w:r>
        <w:rPr>
          <w:rFonts w:ascii="Times New Roman" w:hAnsi="Times New Roman"/>
          <w:szCs w:val="28"/>
        </w:rPr>
        <w:t xml:space="preserve">Для достижения целей госпрограммы предусмотрено 7 показателей, </w:t>
      </w:r>
    </w:p>
    <w:p w:rsidR="009F05B7" w:rsidRDefault="00CF1D89">
      <w:pPr>
        <w:pStyle w:val="a2"/>
        <w:ind w:firstLine="0"/>
        <w:jc w:val="center"/>
      </w:pPr>
      <w:r>
        <w:rPr>
          <w:rFonts w:ascii="Times New Roman" w:hAnsi="Times New Roman"/>
          <w:szCs w:val="28"/>
        </w:rPr>
        <w:t xml:space="preserve">уровень достижения </w:t>
      </w:r>
      <w:r>
        <w:rPr>
          <w:rFonts w:ascii="Times New Roman" w:hAnsi="Times New Roman"/>
          <w:szCs w:val="28"/>
          <w:shd w:val="clear" w:color="auto" w:fill="FFFFFF"/>
        </w:rPr>
        <w:t>по всем показателям составляет 100%</w:t>
      </w:r>
    </w:p>
    <w:tbl>
      <w:tblPr>
        <w:tblW w:w="10288" w:type="dxa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0"/>
        <w:gridCol w:w="1288"/>
        <w:gridCol w:w="1285"/>
        <w:gridCol w:w="1515"/>
      </w:tblGrid>
      <w:tr w:rsidR="009F05B7">
        <w:trPr>
          <w:trHeight w:val="477"/>
        </w:trPr>
        <w:tc>
          <w:tcPr>
            <w:tcW w:w="6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достижения, %</w:t>
            </w:r>
          </w:p>
        </w:tc>
      </w:tr>
      <w:tr w:rsidR="009F05B7">
        <w:trPr>
          <w:trHeight w:val="477"/>
        </w:trPr>
        <w:tc>
          <w:tcPr>
            <w:tcW w:w="6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площади жилищного фонда, обеспеченного всеми видами благоустройства, в общей площади жилищного фонда Республики Татарстан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F05B7">
        <w:trPr>
          <w:trHeight w:val="477"/>
        </w:trPr>
        <w:tc>
          <w:tcPr>
            <w:tcW w:w="6199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(количество квадратных метров) отремонтированного жилищного фонда</w:t>
            </w: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Миллион квадратных метров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F05B7">
        <w:trPr>
          <w:trHeight w:val="536"/>
        </w:trPr>
        <w:tc>
          <w:tcPr>
            <w:tcW w:w="6199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Тысяча семей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0,399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F05B7">
        <w:trPr>
          <w:trHeight w:val="509"/>
        </w:trPr>
        <w:tc>
          <w:tcPr>
            <w:tcW w:w="6199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жилищного строительства</w:t>
            </w: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Миллион квадратных метров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3,515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F05B7">
        <w:trPr>
          <w:trHeight w:val="521"/>
        </w:trPr>
        <w:tc>
          <w:tcPr>
            <w:tcW w:w="6199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Численность детей-сирот и лиц из их числа, обеспеченных жилыми помещениями специализированного жилищного фонда</w:t>
            </w: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F05B7">
        <w:trPr>
          <w:trHeight w:val="337"/>
        </w:trPr>
        <w:tc>
          <w:tcPr>
            <w:tcW w:w="6199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семей, улучшивших жилищные условия</w:t>
            </w: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Тысяча семей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135,7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F05B7">
        <w:trPr>
          <w:trHeight w:val="318"/>
        </w:trPr>
        <w:tc>
          <w:tcPr>
            <w:tcW w:w="6199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молодых семей, обеспеченных жильем</w:t>
            </w: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9F05B7" w:rsidRDefault="00CF1D89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По итогам проведенной оценки эффективности уровень достижения госпрограммы в 2025 году составил 100%, что соответствует категории I четверть - «высокая степень эффективности реализации государственной программы», который включал в себя: оценку уровня достижения госпрограммы в отчетном году (100%), оценку уровня достижения региональных проектов, не входящих в состав национальных проектов (100%), оценку уровня достижения региональных проектов, входящих в состав национальных проектов (100%) и оценку уровня достижения комплексов процессных мероприятий (100%).</w:t>
      </w:r>
    </w:p>
    <w:p w:rsidR="009F05B7" w:rsidRDefault="009F05B7">
      <w:pPr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9F05B7" w:rsidRDefault="00CF1D89">
      <w:p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Уровень достижения </w:t>
      </w:r>
      <w:r>
        <w:rPr>
          <w:rFonts w:ascii="Times New Roman" w:eastAsia="Calibri" w:hAnsi="Times New Roman" w:cs="Times New Roman"/>
          <w:b/>
          <w:bCs/>
          <w:kern w:val="0"/>
          <w:sz w:val="24"/>
          <w:lang w:val="tt-RU" w:eastAsia="en-US" w:bidi="ar-SA"/>
        </w:rPr>
        <w:t>государственной программы</w:t>
      </w:r>
      <w:r>
        <w:rPr>
          <w:rFonts w:ascii="Times New Roman" w:hAnsi="Times New Roman" w:cs="Times New Roman"/>
          <w:b/>
          <w:sz w:val="24"/>
        </w:rPr>
        <w:t xml:space="preserve"> «Обеспечение качественным жильем и услугами жилищно-коммунального хозяйства населения Республики Татарстан» </w:t>
      </w:r>
    </w:p>
    <w:p w:rsidR="009F05B7" w:rsidRDefault="00CF1D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2025 год</w:t>
      </w:r>
    </w:p>
    <w:tbl>
      <w:tblPr>
        <w:tblW w:w="10188" w:type="dxa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87"/>
        <w:gridCol w:w="1139"/>
        <w:gridCol w:w="3288"/>
        <w:gridCol w:w="1374"/>
      </w:tblGrid>
      <w:tr w:rsidR="009F05B7">
        <w:trPr>
          <w:trHeight w:val="195"/>
        </w:trPr>
        <w:tc>
          <w:tcPr>
            <w:tcW w:w="4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паспорта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достижения, %</w:t>
            </w:r>
          </w:p>
        </w:tc>
      </w:tr>
      <w:tr w:rsidR="009F05B7">
        <w:trPr>
          <w:trHeight w:val="582"/>
        </w:trPr>
        <w:tc>
          <w:tcPr>
            <w:tcW w:w="4386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ГП</w:t>
            </w:r>
          </w:p>
        </w:tc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5B7" w:rsidRDefault="00CF1D8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9F05B7">
        <w:trPr>
          <w:trHeight w:val="459"/>
        </w:trPr>
        <w:tc>
          <w:tcPr>
            <w:tcW w:w="4386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жильем молодых семей в Республике Татарстан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 вне НП</w:t>
            </w:r>
          </w:p>
        </w:tc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Министерство по делам молодежи Республики Татарстан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F05B7">
        <w:trPr>
          <w:trHeight w:val="459"/>
        </w:trPr>
        <w:tc>
          <w:tcPr>
            <w:tcW w:w="4386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 вне НП</w:t>
            </w:r>
          </w:p>
        </w:tc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Министерство образования и науки Республики Татарстан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F05B7">
        <w:trPr>
          <w:trHeight w:val="459"/>
        </w:trPr>
        <w:tc>
          <w:tcPr>
            <w:tcW w:w="4386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технического состояния многоквартирных домов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 вне НП</w:t>
            </w:r>
          </w:p>
        </w:tc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</w:pPr>
            <w:r>
              <w:rPr>
                <w:rFonts w:ascii="Times New Roman" w:hAnsi="Times New Roman"/>
                <w:sz w:val="18"/>
                <w:szCs w:val="1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F05B7">
        <w:trPr>
          <w:trHeight w:val="459"/>
        </w:trPr>
        <w:tc>
          <w:tcPr>
            <w:tcW w:w="4386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социальной и инженерной инфраструктуры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 вне НП</w:t>
            </w:r>
          </w:p>
        </w:tc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</w:pPr>
            <w:r>
              <w:rPr>
                <w:rFonts w:ascii="Times New Roman" w:hAnsi="Times New Roman"/>
                <w:sz w:val="18"/>
                <w:szCs w:val="1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F05B7">
        <w:trPr>
          <w:trHeight w:val="459"/>
        </w:trPr>
        <w:tc>
          <w:tcPr>
            <w:tcW w:w="4386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Жилье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 в НП</w:t>
            </w:r>
          </w:p>
        </w:tc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</w:pPr>
            <w:r>
              <w:rPr>
                <w:rFonts w:ascii="Times New Roman" w:hAnsi="Times New Roman"/>
                <w:sz w:val="18"/>
                <w:szCs w:val="1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F05B7">
        <w:trPr>
          <w:trHeight w:val="459"/>
        </w:trPr>
        <w:tc>
          <w:tcPr>
            <w:tcW w:w="4386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Модернизация коммунальной инфраструктуры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 в НП</w:t>
            </w:r>
          </w:p>
        </w:tc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</w:pPr>
            <w:r>
              <w:rPr>
                <w:rFonts w:ascii="Times New Roman" w:hAnsi="Times New Roman"/>
                <w:sz w:val="18"/>
                <w:szCs w:val="1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F05B7">
        <w:trPr>
          <w:trHeight w:val="459"/>
        </w:trPr>
        <w:tc>
          <w:tcPr>
            <w:tcW w:w="4386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Осуществление регионального государственного жилищного контроля (надзора)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Государственная жилищная инспекция Республики Татарстан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F05B7">
        <w:trPr>
          <w:trHeight w:val="459"/>
        </w:trPr>
        <w:tc>
          <w:tcPr>
            <w:tcW w:w="4386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Инспекции государственного строительного надзора Республики Татарстан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F05B7">
        <w:trPr>
          <w:trHeight w:val="459"/>
        </w:trPr>
        <w:tc>
          <w:tcPr>
            <w:tcW w:w="4386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</w:tcPr>
          <w:p w:rsidR="009F05B7" w:rsidRDefault="00CF1D89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PT Astra Serif" w:hAnsi="Times New Roman" w:cs="PT Astra Serif"/>
                <w:color w:val="000000"/>
                <w:sz w:val="18"/>
                <w:szCs w:val="18"/>
                <w:lang w:eastAsia="zh-CN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05B7" w:rsidRDefault="00CF1D89">
            <w:pPr>
              <w:pStyle w:val="Standard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</w:tbl>
    <w:p w:rsidR="009F05B7" w:rsidRDefault="00CF1D89">
      <w:pPr>
        <w:pStyle w:val="Firstlineindent"/>
        <w:spacing w:line="312" w:lineRule="exact"/>
        <w:ind w:firstLine="708"/>
        <w:jc w:val="both"/>
      </w:pPr>
      <w:r>
        <w:rPr>
          <w:rFonts w:ascii="Times New Roman" w:hAnsi="Times New Roman"/>
          <w:szCs w:val="28"/>
        </w:rPr>
        <w:t>Госпрограмма в целом соответствует требованиям постановления Кабинета Министров Республики Татарстан от 30.05.2023 № 655 «О системе управления государственными программами Республики Татарстан», постановления Кабинета Министров Республики Татарстан от 20.06.2019  № 504 «Об организации проектной деятельности в Правительстве Республики Татарстан», методических рекомендаций по разработке и реализации государственных программ субъектов Российской Федерации и муниципальных программ.</w:t>
      </w:r>
    </w:p>
    <w:p w:rsidR="009F05B7" w:rsidRDefault="00CF1D89">
      <w:pPr>
        <w:pStyle w:val="a2"/>
      </w:pPr>
      <w:r>
        <w:rPr>
          <w:rFonts w:ascii="Times New Roman" w:hAnsi="Times New Roman"/>
          <w:szCs w:val="28"/>
        </w:rPr>
        <w:t>Факты изменения плановых значений показателей госпрограммы, а также показателей и мероприятий (результатов) ее структурных элементов на 2025 год после окончания 2025 года не выявлены.</w:t>
      </w:r>
    </w:p>
    <w:p w:rsidR="009F05B7" w:rsidRDefault="00CF1D89">
      <w:pPr>
        <w:pStyle w:val="a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Всего из 32 показателей 27 показателей выполнены на 100%, 5 показателей перевыполнено более чем на 25%.</w:t>
      </w:r>
    </w:p>
    <w:p w:rsidR="009F05B7" w:rsidRDefault="00CF1D89">
      <w:pPr>
        <w:pStyle w:val="Firstlineindent"/>
        <w:spacing w:line="312" w:lineRule="exact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Информация о выполнении и уровне достижения показателей госпрограммы, региональных проектов, не входящих в состав национальных проектов и комплексов процессных мероприятий представлена в приложениях 1-3.</w:t>
      </w:r>
    </w:p>
    <w:p w:rsidR="009F05B7" w:rsidRDefault="00CF1D89">
      <w:pPr>
        <w:pStyle w:val="Firstlineindent"/>
        <w:spacing w:line="312" w:lineRule="exact"/>
        <w:ind w:firstLine="708"/>
        <w:jc w:val="both"/>
      </w:pPr>
      <w:r>
        <w:rPr>
          <w:rFonts w:ascii="Times New Roman" w:hAnsi="Times New Roman"/>
          <w:szCs w:val="28"/>
        </w:rPr>
        <w:t>Информация о выполнении и уровне достижения результатов, а также выполнении контрольных точек региональных проектов, не входящих в состав национальных проектов и комплексов процессных мероприятий представлена в приложениях 4-5.</w:t>
      </w:r>
    </w:p>
    <w:p w:rsidR="009F05B7" w:rsidRDefault="009F05B7">
      <w:pPr>
        <w:pStyle w:val="a2"/>
        <w:rPr>
          <w:rFonts w:ascii="Times New Roman" w:hAnsi="Times New Roman" w:cs="Times New Roman"/>
          <w:sz w:val="12"/>
          <w:szCs w:val="12"/>
        </w:rPr>
      </w:pPr>
    </w:p>
    <w:p w:rsidR="009F05B7" w:rsidRDefault="00CF1D89">
      <w:pPr>
        <w:pStyle w:val="a2"/>
        <w:rPr>
          <w:rFonts w:ascii="Times New Roman" w:hAnsi="Times New Roman" w:cs="Times New Roman"/>
          <w:szCs w:val="28"/>
        </w:rPr>
      </w:pPr>
      <w:r>
        <w:rPr>
          <w:rFonts w:ascii="Times New Roman" w:eastAsia="Calibri" w:hAnsi="Times New Roman" w:cs="Times New Roman"/>
          <w:kern w:val="0"/>
          <w:szCs w:val="28"/>
          <w:lang w:val="tt-RU" w:eastAsia="en-US" w:bidi="ar-SA"/>
        </w:rPr>
        <w:t>Общий объем финансирования на реализацию госпрограммы составил           46 233,8 млн рублей, кассовое исполнение 45 610,2 млн рублей (98,7%).</w:t>
      </w:r>
    </w:p>
    <w:p w:rsidR="009F05B7" w:rsidRDefault="009F05B7">
      <w:pPr>
        <w:rPr>
          <w:rFonts w:ascii="Times New Roman" w:hAnsi="Times New Roman"/>
          <w:sz w:val="12"/>
          <w:szCs w:val="12"/>
        </w:rPr>
      </w:pPr>
    </w:p>
    <w:p w:rsidR="009F05B7" w:rsidRDefault="00CF1D89">
      <w:pPr>
        <w:rPr>
          <w:rFonts w:ascii="Times New Roman" w:hAnsi="Times New Roman"/>
          <w:sz w:val="24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lang w:val="tt-RU" w:eastAsia="en-US" w:bidi="ar-SA"/>
        </w:rPr>
        <w:t xml:space="preserve">Информация об объемах финансирования государственной программы </w:t>
      </w:r>
    </w:p>
    <w:p w:rsidR="009F05B7" w:rsidRDefault="00CF1D89">
      <w:pPr>
        <w:rPr>
          <w:rFonts w:ascii="Times New Roman" w:eastAsia="Calibri" w:hAnsi="Times New Roman" w:cs="Times New Roman"/>
          <w:b/>
          <w:bCs/>
          <w:kern w:val="0"/>
          <w:sz w:val="24"/>
          <w:lang w:val="tt-RU" w:eastAsia="en-US" w:bidi="ar-SA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lang w:val="tt-RU" w:eastAsia="en-US" w:bidi="ar-SA"/>
        </w:rPr>
        <w:t xml:space="preserve">«Обеспечение качественным жильем и услугами жилищно-коммунального хозяйства населения Республики Татарстан» </w:t>
      </w:r>
    </w:p>
    <w:p w:rsidR="009F05B7" w:rsidRDefault="00CF1D89">
      <w:pPr>
        <w:rPr>
          <w:rFonts w:ascii="Times New Roman" w:eastAsia="Calibri" w:hAnsi="Times New Roman" w:cs="Times New Roman"/>
          <w:kern w:val="0"/>
          <w:sz w:val="24"/>
          <w:lang w:val="tt-RU" w:eastAsia="en-US" w:bidi="ar-SA"/>
        </w:rPr>
      </w:pPr>
      <w:r>
        <w:rPr>
          <w:rFonts w:ascii="Times New Roman" w:eastAsia="Calibri" w:hAnsi="Times New Roman" w:cs="Times New Roman"/>
          <w:kern w:val="0"/>
          <w:sz w:val="24"/>
          <w:lang w:val="tt-RU" w:eastAsia="en-US" w:bidi="ar-SA"/>
        </w:rPr>
        <w:t>за 2025 год</w:t>
      </w:r>
    </w:p>
    <w:p w:rsidR="009F05B7" w:rsidRDefault="00CF1D89">
      <w:pPr>
        <w:jc w:val="right"/>
        <w:rPr>
          <w:rFonts w:ascii="Times New Roman" w:eastAsia="Calibri" w:hAnsi="Times New Roman" w:cs="Times New Roman"/>
          <w:kern w:val="0"/>
          <w:sz w:val="20"/>
          <w:szCs w:val="20"/>
          <w:lang w:val="tt-RU" w:eastAsia="en-US" w:bidi="ar-SA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tt-RU" w:eastAsia="en-US" w:bidi="ar-SA"/>
        </w:rPr>
        <w:t>рублей</w:t>
      </w:r>
    </w:p>
    <w:tbl>
      <w:tblPr>
        <w:tblW w:w="10230" w:type="dxa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6"/>
        <w:gridCol w:w="1762"/>
        <w:gridCol w:w="1663"/>
        <w:gridCol w:w="1229"/>
      </w:tblGrid>
      <w:tr w:rsidR="009F05B7">
        <w:trPr>
          <w:trHeight w:val="1560"/>
        </w:trPr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госпрограммы/структурных элементов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Ассигнования, предусмотренные на финансовое обеспечение реализации госпрограммы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Кассовое исполнение (факт)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05B7" w:rsidRDefault="00CF1D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Процент освоения финансового обеспечения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</w:tr>
      <w:tr w:rsidR="009F05B7">
        <w:trPr>
          <w:trHeight w:val="652"/>
        </w:trPr>
        <w:tc>
          <w:tcPr>
            <w:tcW w:w="5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ГП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46 233 809 385,07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45 610 234 376,55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98,7</w:t>
            </w:r>
          </w:p>
        </w:tc>
      </w:tr>
      <w:tr w:rsidR="009F05B7">
        <w:trPr>
          <w:trHeight w:val="308"/>
        </w:trPr>
        <w:tc>
          <w:tcPr>
            <w:tcW w:w="5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 вне НП «Обеспечение жильем молодых семей в Республике Татарстан»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130 466 100,0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130 213 402,01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99,8</w:t>
            </w:r>
          </w:p>
        </w:tc>
      </w:tr>
      <w:tr w:rsidR="009F05B7">
        <w:trPr>
          <w:trHeight w:val="308"/>
        </w:trPr>
        <w:tc>
          <w:tcPr>
            <w:tcW w:w="5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 вне НП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1 810 664 800,0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1 810 664 800,0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9F05B7">
        <w:trPr>
          <w:trHeight w:val="308"/>
        </w:trPr>
        <w:tc>
          <w:tcPr>
            <w:tcW w:w="5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РП вне НП «Улучшение технического состояния многоквартирных домов»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4 364 275 700,0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4 364 275 700,0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9F05B7">
        <w:trPr>
          <w:trHeight w:val="308"/>
        </w:trPr>
        <w:tc>
          <w:tcPr>
            <w:tcW w:w="5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 вне НП «Развитие социальной и инженерной инфраструктуры»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30 961 376 306,26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30 493 625 285,27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98,5</w:t>
            </w:r>
          </w:p>
        </w:tc>
      </w:tr>
      <w:tr w:rsidR="009F05B7">
        <w:trPr>
          <w:trHeight w:val="308"/>
        </w:trPr>
        <w:tc>
          <w:tcPr>
            <w:tcW w:w="5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КПМ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3 951 083 591,62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3 800 710 879,63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96,2</w:t>
            </w:r>
          </w:p>
        </w:tc>
      </w:tr>
      <w:tr w:rsidR="009F05B7">
        <w:trPr>
          <w:trHeight w:val="308"/>
        </w:trPr>
        <w:tc>
          <w:tcPr>
            <w:tcW w:w="5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КПМ «Осуществление регионального государственного жилищного контроля (надзора)»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206 064 793,49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205 458 165,12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99,7</w:t>
            </w:r>
          </w:p>
        </w:tc>
      </w:tr>
      <w:tr w:rsidR="009F05B7">
        <w:trPr>
          <w:trHeight w:val="308"/>
        </w:trPr>
        <w:tc>
          <w:tcPr>
            <w:tcW w:w="5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КПМ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499 904 727,96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497 754 050,29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99,6</w:t>
            </w:r>
          </w:p>
        </w:tc>
      </w:tr>
      <w:tr w:rsidR="009F05B7">
        <w:trPr>
          <w:trHeight w:val="308"/>
        </w:trPr>
        <w:tc>
          <w:tcPr>
            <w:tcW w:w="5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 в НП «Жилье»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237 414 913,74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234 973 642,77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99,0</w:t>
            </w:r>
          </w:p>
        </w:tc>
      </w:tr>
      <w:tr w:rsidR="009F05B7">
        <w:trPr>
          <w:trHeight w:val="308"/>
        </w:trPr>
        <w:tc>
          <w:tcPr>
            <w:tcW w:w="5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 в НП «Модернизация коммунальной инфраструктуры»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4 072 558 452,0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4 072 558 451,46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05B7" w:rsidRDefault="00CF1D8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</w:tbl>
    <w:p w:rsidR="009F05B7" w:rsidRDefault="00CF1D8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Причинами неполного освоения финансирования госпрограммы являются:</w:t>
      </w:r>
    </w:p>
    <w:p w:rsidR="009F05B7" w:rsidRDefault="00CF1D8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>- по РП вне НП «Обеспечение жильем молодых семей в Республике Татарстан» - произведен возврат средств в бюджет РТ, так как остаток финансирования не достаточен для предоставления социальной выплаты дополнительно 1 семье;</w:t>
      </w:r>
    </w:p>
    <w:p w:rsidR="009F05B7" w:rsidRDefault="00CF1D8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>- по РП вне НП «Развитие социальной и инженерной инфраструктуры» - экономия по  факту выполненных работ;</w:t>
      </w:r>
    </w:p>
    <w:p w:rsidR="009F05B7" w:rsidRDefault="00CF1D8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>- по КПМ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 - экономия по результатам торгов, за счет оплаты по факту выполненных работ, а также неиспользованный остаток средств на содержание МСАиЖКХ РТ, ГИСУ РТ, ГУИС РТ (больничные, командировочные расходы);</w:t>
      </w:r>
    </w:p>
    <w:p w:rsidR="009F05B7" w:rsidRDefault="00CF1D8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>- по КПМ «Осуществление регионального государственного жилищного контроля (надзора)» - Экономия по результатам торгов, а также поставщик ООО «Школьник»  свои обязательства по поставке мебели в 2025г. не исполнил, выполнил в 2026г.;</w:t>
      </w:r>
    </w:p>
    <w:p w:rsidR="009F05B7" w:rsidRDefault="00CF1D8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>- по КПМ «Обеспечение деятельности Инспекции государственного строительного надзора Республики Татарстан» - экономия сложилась за счет остатков по начислению на оплату труда, командировочным расходам, так же за счет оплаты по факту на основании актов выполненных работ;</w:t>
      </w:r>
    </w:p>
    <w:p w:rsidR="009F05B7" w:rsidRDefault="00CF1D8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- по РП в НП «Жилье» контрактная экономия и перенос средств по аварийному переселению на 2026 год.</w:t>
      </w:r>
    </w:p>
    <w:p w:rsidR="009F05B7" w:rsidRDefault="009F05B7">
      <w:pPr>
        <w:ind w:firstLine="709"/>
        <w:jc w:val="both"/>
        <w:rPr>
          <w:rFonts w:ascii="Times New Roman" w:hAnsi="Times New Roman"/>
          <w:szCs w:val="28"/>
        </w:rPr>
      </w:pPr>
    </w:p>
    <w:sectPr w:rsidR="009F05B7">
      <w:pgSz w:w="11906" w:h="16838"/>
      <w:pgMar w:top="1127" w:right="567" w:bottom="995" w:left="1134" w:header="737" w:footer="68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7E1" w:rsidRDefault="00CF1D89">
      <w:r>
        <w:separator/>
      </w:r>
    </w:p>
  </w:endnote>
  <w:endnote w:type="continuationSeparator" w:id="0">
    <w:p w:rsidR="003C27E1" w:rsidRDefault="00CF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OpenSymbol">
    <w:charset w:val="02"/>
    <w:family w:val="auto"/>
    <w:pitch w:val="default"/>
  </w:font>
  <w:font w:name="Liberation Mono">
    <w:altName w:val="MS Gothic"/>
    <w:charset w:val="00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7E1" w:rsidRDefault="00CF1D89">
      <w:r>
        <w:separator/>
      </w:r>
    </w:p>
  </w:footnote>
  <w:footnote w:type="continuationSeparator" w:id="0">
    <w:p w:rsidR="003C27E1" w:rsidRDefault="00CF1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DD1"/>
    <w:multiLevelType w:val="multilevel"/>
    <w:tmpl w:val="2A4867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6A3364"/>
    <w:multiLevelType w:val="multilevel"/>
    <w:tmpl w:val="682A8BF0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57DC569A"/>
    <w:multiLevelType w:val="multilevel"/>
    <w:tmpl w:val="4C5E3BB0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B7"/>
    <w:rsid w:val="002F1F70"/>
    <w:rsid w:val="003C27E1"/>
    <w:rsid w:val="009F05B7"/>
    <w:rsid w:val="00C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B968"/>
  <w15:docId w15:val="{184302E3-6FB1-4B68-AF33-DBCC41DF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10"/>
    <w:next w:val="a2"/>
    <w:qFormat/>
    <w:pPr>
      <w:outlineLvl w:val="0"/>
    </w:pPr>
  </w:style>
  <w:style w:type="paragraph" w:styleId="2">
    <w:name w:val="heading 2"/>
    <w:basedOn w:val="10"/>
    <w:next w:val="a3"/>
    <w:qFormat/>
    <w:pPr>
      <w:outlineLvl w:val="1"/>
    </w:pPr>
  </w:style>
  <w:style w:type="paragraph" w:styleId="3">
    <w:name w:val="heading 3"/>
    <w:basedOn w:val="10"/>
    <w:next w:val="a3"/>
    <w:qFormat/>
    <w:pPr>
      <w:outlineLvl w:val="2"/>
    </w:pPr>
  </w:style>
  <w:style w:type="paragraph" w:styleId="4">
    <w:name w:val="heading 4"/>
    <w:basedOn w:val="10"/>
    <w:next w:val="a3"/>
    <w:qFormat/>
    <w:pPr>
      <w:outlineLvl w:val="3"/>
    </w:pPr>
  </w:style>
  <w:style w:type="paragraph" w:styleId="5">
    <w:name w:val="heading 5"/>
    <w:basedOn w:val="10"/>
    <w:next w:val="a3"/>
    <w:qFormat/>
    <w:pPr>
      <w:outlineLvl w:val="4"/>
    </w:pPr>
  </w:style>
  <w:style w:type="paragraph" w:styleId="6">
    <w:name w:val="heading 6"/>
    <w:basedOn w:val="10"/>
    <w:next w:val="a3"/>
    <w:qFormat/>
    <w:pPr>
      <w:outlineLvl w:val="5"/>
    </w:pPr>
  </w:style>
  <w:style w:type="paragraph" w:styleId="7">
    <w:name w:val="heading 7"/>
    <w:basedOn w:val="10"/>
    <w:next w:val="a3"/>
    <w:qFormat/>
    <w:pPr>
      <w:outlineLvl w:val="6"/>
    </w:pPr>
  </w:style>
  <w:style w:type="paragraph" w:styleId="8">
    <w:name w:val="heading 8"/>
    <w:basedOn w:val="10"/>
    <w:next w:val="a3"/>
    <w:qFormat/>
    <w:pPr>
      <w:outlineLvl w:val="7"/>
    </w:pPr>
  </w:style>
  <w:style w:type="paragraph" w:styleId="9">
    <w:name w:val="heading 9"/>
    <w:basedOn w:val="10"/>
    <w:next w:val="a3"/>
    <w:qFormat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нумерации"/>
    <w:qFormat/>
  </w:style>
  <w:style w:type="character" w:customStyle="1" w:styleId="a8">
    <w:name w:val="Маркеры"/>
    <w:qFormat/>
    <w:rPr>
      <w:rFonts w:ascii="OpenSymbol" w:eastAsia="OpenSymbol" w:hAnsi="OpenSymbol" w:cs="OpenSymbol"/>
    </w:rPr>
  </w:style>
  <w:style w:type="character" w:customStyle="1" w:styleId="a9">
    <w:name w:val="Символ сноски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styleId="ab">
    <w:name w:val="page number"/>
  </w:style>
  <w:style w:type="character" w:customStyle="1" w:styleId="ac">
    <w:name w:val="Символы названия"/>
    <w:qFormat/>
  </w:style>
  <w:style w:type="character" w:customStyle="1" w:styleId="ad">
    <w:name w:val="Буквица"/>
    <w:qFormat/>
  </w:style>
  <w:style w:type="character" w:styleId="ae">
    <w:name w:val="Hyperlink"/>
    <w:rPr>
      <w:color w:val="000080"/>
      <w:u w:val="single"/>
    </w:rPr>
  </w:style>
  <w:style w:type="character" w:styleId="af">
    <w:name w:val="FollowedHyperlink"/>
    <w:rPr>
      <w:color w:val="800000"/>
      <w:u w:val="single"/>
    </w:rPr>
  </w:style>
  <w:style w:type="character" w:customStyle="1" w:styleId="af0">
    <w:name w:val="Заполнитель"/>
    <w:qFormat/>
    <w:rPr>
      <w:smallCaps/>
      <w:color w:val="008080"/>
      <w:u w:val="dotted"/>
    </w:rPr>
  </w:style>
  <w:style w:type="character" w:customStyle="1" w:styleId="af1">
    <w:name w:val="Ссылка указателя"/>
    <w:qFormat/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line number"/>
  </w:style>
  <w:style w:type="character" w:customStyle="1" w:styleId="af4">
    <w:name w:val="Основной элемент указателя"/>
    <w:qFormat/>
    <w:rPr>
      <w:b/>
      <w:bCs/>
    </w:rPr>
  </w:style>
  <w:style w:type="character" w:styleId="af5">
    <w:name w:val="endnote reference"/>
    <w:rPr>
      <w:vertAlign w:val="superscript"/>
    </w:rPr>
  </w:style>
  <w:style w:type="character" w:customStyle="1" w:styleId="af6">
    <w:name w:val="Фуригана"/>
    <w:qFormat/>
    <w:rPr>
      <w:sz w:val="12"/>
      <w:szCs w:val="12"/>
      <w:u w:val="none"/>
      <w:em w:val="none"/>
    </w:rPr>
  </w:style>
  <w:style w:type="character" w:customStyle="1" w:styleId="af7">
    <w:name w:val="Вертикальное направление символов"/>
    <w:qFormat/>
    <w:rPr>
      <w:eastAsianLayout w:id="-473772800" w:vert="1"/>
    </w:rPr>
  </w:style>
  <w:style w:type="character" w:styleId="af8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styleId="af9">
    <w:name w:val="Strong"/>
    <w:qFormat/>
    <w:rPr>
      <w:b/>
      <w:bCs/>
    </w:rPr>
  </w:style>
  <w:style w:type="character" w:customStyle="1" w:styleId="afa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b">
    <w:name w:val="Пример"/>
    <w:qFormat/>
    <w:rPr>
      <w:rFonts w:ascii="Liberation Mono" w:eastAsia="Liberation Mono" w:hAnsi="Liberation Mono" w:cs="Liberation Mono"/>
    </w:rPr>
  </w:style>
  <w:style w:type="character" w:customStyle="1" w:styleId="afc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d">
    <w:name w:val="Переменная"/>
    <w:qFormat/>
    <w:rPr>
      <w:i/>
      <w:iCs/>
    </w:rPr>
  </w:style>
  <w:style w:type="character" w:customStyle="1" w:styleId="afe">
    <w:name w:val="Определение"/>
    <w:qFormat/>
  </w:style>
  <w:style w:type="character" w:customStyle="1" w:styleId="aff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aff0">
    <w:name w:val="Заголовок сообщения (текст)"/>
    <w:qFormat/>
    <w:rPr>
      <w:b/>
      <w:sz w:val="18"/>
    </w:rPr>
  </w:style>
  <w:style w:type="paragraph" w:customStyle="1" w:styleId="10">
    <w:name w:val="Заголовок1"/>
    <w:basedOn w:val="a1"/>
    <w:next w:val="a2"/>
    <w:qFormat/>
    <w:rPr>
      <w:b/>
    </w:rPr>
  </w:style>
  <w:style w:type="paragraph" w:styleId="a3">
    <w:name w:val="Body Text"/>
    <w:basedOn w:val="a1"/>
    <w:pPr>
      <w:jc w:val="both"/>
    </w:pPr>
  </w:style>
  <w:style w:type="paragraph" w:styleId="aff1">
    <w:name w:val="List"/>
    <w:basedOn w:val="a3"/>
  </w:style>
  <w:style w:type="paragraph" w:styleId="aff2">
    <w:name w:val="caption"/>
    <w:basedOn w:val="a1"/>
    <w:qFormat/>
  </w:style>
  <w:style w:type="paragraph" w:styleId="aff3">
    <w:name w:val="index heading"/>
    <w:basedOn w:val="10"/>
  </w:style>
  <w:style w:type="paragraph" w:customStyle="1" w:styleId="aff4">
    <w:name w:val="Блочная цитата"/>
    <w:basedOn w:val="a1"/>
    <w:qFormat/>
  </w:style>
  <w:style w:type="paragraph" w:styleId="aff5">
    <w:name w:val="Title"/>
    <w:basedOn w:val="a1"/>
    <w:next w:val="a2"/>
    <w:qFormat/>
    <w:pPr>
      <w:spacing w:after="170"/>
    </w:pPr>
    <w:rPr>
      <w:b/>
    </w:rPr>
  </w:style>
  <w:style w:type="paragraph" w:styleId="aff6">
    <w:name w:val="Subtitle"/>
    <w:basedOn w:val="a1"/>
    <w:next w:val="a2"/>
    <w:qFormat/>
    <w:pPr>
      <w:ind w:left="709"/>
      <w:jc w:val="both"/>
    </w:pPr>
    <w:rPr>
      <w:b/>
    </w:rPr>
  </w:style>
  <w:style w:type="paragraph" w:styleId="a2">
    <w:name w:val="Body Text First Indent"/>
    <w:basedOn w:val="a1"/>
    <w:pPr>
      <w:ind w:firstLine="709"/>
      <w:jc w:val="both"/>
    </w:pPr>
  </w:style>
  <w:style w:type="paragraph" w:customStyle="1" w:styleId="aff7">
    <w:name w:val="Обратный отступ"/>
    <w:basedOn w:val="a3"/>
    <w:qFormat/>
    <w:pPr>
      <w:tabs>
        <w:tab w:val="left" w:pos="0"/>
      </w:tabs>
    </w:pPr>
  </w:style>
  <w:style w:type="paragraph" w:styleId="aff8">
    <w:name w:val="Body Text Indent"/>
    <w:basedOn w:val="a3"/>
  </w:style>
  <w:style w:type="paragraph" w:styleId="aff9">
    <w:name w:val="Salutation"/>
    <w:basedOn w:val="a1"/>
  </w:style>
  <w:style w:type="paragraph" w:styleId="affa">
    <w:name w:val="Signature"/>
    <w:basedOn w:val="a1"/>
    <w:pPr>
      <w:tabs>
        <w:tab w:val="right" w:pos="31680"/>
      </w:tabs>
      <w:jc w:val="left"/>
    </w:pPr>
  </w:style>
  <w:style w:type="paragraph" w:customStyle="1" w:styleId="affb">
    <w:name w:val="Отступы"/>
    <w:basedOn w:val="a3"/>
    <w:qFormat/>
    <w:pPr>
      <w:tabs>
        <w:tab w:val="left" w:pos="0"/>
      </w:tabs>
    </w:pPr>
  </w:style>
  <w:style w:type="paragraph" w:styleId="affc">
    <w:name w:val="annotation text"/>
    <w:basedOn w:val="a3"/>
  </w:style>
  <w:style w:type="paragraph" w:customStyle="1" w:styleId="100">
    <w:name w:val="Заголовок 10"/>
    <w:basedOn w:val="10"/>
    <w:next w:val="a3"/>
    <w:qFormat/>
  </w:style>
  <w:style w:type="paragraph" w:customStyle="1" w:styleId="12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1"/>
      </w:numPr>
    </w:pPr>
  </w:style>
  <w:style w:type="paragraph" w:customStyle="1" w:styleId="13">
    <w:name w:val="Нумерованный 1 конец"/>
    <w:basedOn w:val="aff1"/>
    <w:next w:val="a0"/>
    <w:qFormat/>
  </w:style>
  <w:style w:type="paragraph" w:customStyle="1" w:styleId="14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5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2"/>
      </w:numPr>
    </w:pPr>
  </w:style>
  <w:style w:type="paragraph" w:customStyle="1" w:styleId="16">
    <w:name w:val="Список 1 конец"/>
    <w:basedOn w:val="aff1"/>
    <w:next w:val="a"/>
    <w:qFormat/>
  </w:style>
  <w:style w:type="paragraph" w:styleId="affd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7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e">
    <w:name w:val="Разделитель предметного указателя"/>
    <w:basedOn w:val="aff3"/>
    <w:qFormat/>
  </w:style>
  <w:style w:type="paragraph" w:styleId="afff">
    <w:name w:val="TOC Heading"/>
    <w:basedOn w:val="10"/>
    <w:next w:val="18"/>
    <w:qFormat/>
  </w:style>
  <w:style w:type="paragraph" w:styleId="18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10"/>
    <w:qFormat/>
  </w:style>
  <w:style w:type="paragraph" w:customStyle="1" w:styleId="19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10"/>
    <w:qFormat/>
  </w:style>
  <w:style w:type="paragraph" w:customStyle="1" w:styleId="1a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10"/>
    <w:qFormat/>
  </w:style>
  <w:style w:type="paragraph" w:customStyle="1" w:styleId="1b">
    <w:name w:val="Список таблиц 1"/>
    <w:basedOn w:val="aff3"/>
    <w:qFormat/>
    <w:pPr>
      <w:tabs>
        <w:tab w:val="right" w:leader="dot" w:pos="9638"/>
      </w:tabs>
    </w:pPr>
  </w:style>
  <w:style w:type="paragraph" w:styleId="afff3">
    <w:name w:val="table of authorities"/>
    <w:basedOn w:val="10"/>
  </w:style>
  <w:style w:type="paragraph" w:customStyle="1" w:styleId="1c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4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5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6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8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9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a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b">
    <w:name w:val="Содержимое таблицы"/>
    <w:basedOn w:val="a1"/>
    <w:qFormat/>
  </w:style>
  <w:style w:type="paragraph" w:customStyle="1" w:styleId="afffc">
    <w:name w:val="Заголовок таблицы"/>
    <w:basedOn w:val="afffb"/>
    <w:qFormat/>
    <w:rPr>
      <w:b/>
    </w:rPr>
  </w:style>
  <w:style w:type="paragraph" w:customStyle="1" w:styleId="afffd">
    <w:name w:val="Иллюстрация"/>
    <w:basedOn w:val="aff2"/>
    <w:qFormat/>
  </w:style>
  <w:style w:type="paragraph" w:customStyle="1" w:styleId="afffe">
    <w:name w:val="Таблица"/>
    <w:basedOn w:val="aff2"/>
    <w:qFormat/>
  </w:style>
  <w:style w:type="paragraph" w:styleId="affff">
    <w:name w:val="Plain Text"/>
    <w:basedOn w:val="aff2"/>
    <w:qFormat/>
  </w:style>
  <w:style w:type="paragraph" w:customStyle="1" w:styleId="affff0">
    <w:name w:val="Содержимое врезки"/>
    <w:basedOn w:val="a1"/>
    <w:qFormat/>
  </w:style>
  <w:style w:type="paragraph" w:styleId="affff1">
    <w:name w:val="footnote text"/>
    <w:basedOn w:val="a1"/>
    <w:pPr>
      <w:jc w:val="left"/>
    </w:pPr>
  </w:style>
  <w:style w:type="paragraph" w:styleId="affff2">
    <w:name w:val="envelope address"/>
    <w:basedOn w:val="a1"/>
  </w:style>
  <w:style w:type="paragraph" w:styleId="2b">
    <w:name w:val="envelope return"/>
    <w:basedOn w:val="a1"/>
  </w:style>
  <w:style w:type="paragraph" w:styleId="affff3">
    <w:name w:val="endnote text"/>
    <w:basedOn w:val="a1"/>
  </w:style>
  <w:style w:type="paragraph" w:customStyle="1" w:styleId="affff4">
    <w:name w:val="Рисунок"/>
    <w:basedOn w:val="aff2"/>
    <w:qFormat/>
  </w:style>
  <w:style w:type="paragraph" w:customStyle="1" w:styleId="affff5">
    <w:name w:val="Текст в заданном формате"/>
    <w:basedOn w:val="a1"/>
    <w:qFormat/>
  </w:style>
  <w:style w:type="paragraph" w:customStyle="1" w:styleId="affff6">
    <w:name w:val="Горизонтальная линия"/>
    <w:basedOn w:val="a1"/>
    <w:next w:val="a3"/>
    <w:qFormat/>
    <w:pPr>
      <w:pBdr>
        <w:bottom w:val="single" w:sz="8" w:space="0" w:color="000000"/>
      </w:pBdr>
    </w:pPr>
    <w:rPr>
      <w:sz w:val="4"/>
    </w:rPr>
  </w:style>
  <w:style w:type="paragraph" w:customStyle="1" w:styleId="affff7">
    <w:name w:val="Содержимое списка"/>
    <w:basedOn w:val="a1"/>
    <w:qFormat/>
  </w:style>
  <w:style w:type="paragraph" w:customStyle="1" w:styleId="affff8">
    <w:name w:val="Заголовок списка"/>
    <w:basedOn w:val="a1"/>
    <w:next w:val="affff7"/>
    <w:qFormat/>
  </w:style>
  <w:style w:type="paragraph" w:customStyle="1" w:styleId="affff9">
    <w:name w:val="Гриф_Экземпляр"/>
    <w:basedOn w:val="a1"/>
    <w:qFormat/>
    <w:rPr>
      <w:sz w:val="24"/>
    </w:rPr>
  </w:style>
  <w:style w:type="paragraph" w:customStyle="1" w:styleId="affffa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b">
    <w:name w:val="Заголовок списка иллюстраций"/>
    <w:basedOn w:val="10"/>
    <w:qFormat/>
    <w:pPr>
      <w:suppressLineNumbers/>
    </w:pPr>
  </w:style>
  <w:style w:type="paragraph" w:customStyle="1" w:styleId="DStyleparagraph">
    <w:name w:val="DStyle_paragraph"/>
    <w:qFormat/>
    <w:rPr>
      <w:rFonts w:eastAsia="Liberation Serif" w:cs="Liberation Serif"/>
      <w:color w:val="000000"/>
      <w:kern w:val="0"/>
      <w:szCs w:val="20"/>
      <w:lang w:eastAsia="zh-CN" w:bidi="ar-SA"/>
    </w:rPr>
  </w:style>
  <w:style w:type="paragraph" w:customStyle="1" w:styleId="Standard">
    <w:name w:val="Standard"/>
    <w:basedOn w:val="DStyleparagraph"/>
    <w:qFormat/>
    <w:rPr>
      <w:rFonts w:ascii="PT Astra Serif" w:eastAsia="PT Astra Serif" w:hAnsi="PT Astra Serif" w:cs="PT Astra Serif"/>
      <w:sz w:val="28"/>
    </w:rPr>
  </w:style>
  <w:style w:type="paragraph" w:customStyle="1" w:styleId="Firstlineindent">
    <w:name w:val="First line indent"/>
    <w:basedOn w:val="Standard"/>
    <w:qFormat/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d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Лариса Хваткова</dc:creator>
  <dc:description/>
  <cp:lastModifiedBy>Гульнара Биккинина</cp:lastModifiedBy>
  <cp:revision>3</cp:revision>
  <dcterms:created xsi:type="dcterms:W3CDTF">2026-03-24T08:14:00Z</dcterms:created>
  <dcterms:modified xsi:type="dcterms:W3CDTF">2026-03-25T13:01:00Z</dcterms:modified>
  <dc:language>ru-RU</dc:language>
</cp:coreProperties>
</file>